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99" w:rsidRPr="007F0818" w:rsidRDefault="00602399" w:rsidP="00602399">
      <w:pPr>
        <w:ind w:right="-14"/>
        <w:jc w:val="center"/>
        <w:rPr>
          <w:b/>
          <w:sz w:val="22"/>
          <w:szCs w:val="28"/>
        </w:rPr>
      </w:pPr>
      <w:r w:rsidRPr="007F0818">
        <w:rPr>
          <w:b/>
          <w:sz w:val="22"/>
          <w:szCs w:val="28"/>
        </w:rPr>
        <w:t xml:space="preserve">‘All you can do is to do some good’: Grammaticalization and Motivations </w:t>
      </w:r>
    </w:p>
    <w:p w:rsidR="00602399" w:rsidRPr="007F0818" w:rsidRDefault="00602399" w:rsidP="00602399">
      <w:pPr>
        <w:ind w:right="-14"/>
        <w:jc w:val="center"/>
        <w:rPr>
          <w:b/>
          <w:sz w:val="22"/>
          <w:szCs w:val="28"/>
        </w:rPr>
      </w:pPr>
      <w:r w:rsidRPr="007F0818">
        <w:rPr>
          <w:b/>
          <w:sz w:val="22"/>
          <w:szCs w:val="28"/>
        </w:rPr>
        <w:t xml:space="preserve">for Emergent </w:t>
      </w:r>
      <w:proofErr w:type="spellStart"/>
      <w:r w:rsidRPr="007F0818">
        <w:rPr>
          <w:b/>
          <w:sz w:val="22"/>
          <w:szCs w:val="28"/>
        </w:rPr>
        <w:t>Constructionalization</w:t>
      </w:r>
      <w:proofErr w:type="spellEnd"/>
    </w:p>
    <w:p w:rsidR="00602399" w:rsidRPr="007F0818" w:rsidRDefault="00602399" w:rsidP="00602399">
      <w:pPr>
        <w:ind w:right="-14"/>
        <w:jc w:val="center"/>
        <w:rPr>
          <w:sz w:val="22"/>
        </w:rPr>
      </w:pPr>
      <w:r w:rsidRPr="007F0818">
        <w:rPr>
          <w:sz w:val="22"/>
        </w:rPr>
        <w:t>Elizabeth Closs Traugott, traugott@stanford.edu</w:t>
      </w:r>
    </w:p>
    <w:p w:rsidR="00602399" w:rsidRPr="007F0818" w:rsidRDefault="00602399" w:rsidP="00602399">
      <w:pPr>
        <w:ind w:right="-900"/>
        <w:rPr>
          <w:b/>
          <w:sz w:val="22"/>
        </w:rPr>
      </w:pPr>
    </w:p>
    <w:p w:rsidR="00602399" w:rsidRPr="007F0818" w:rsidRDefault="00602399" w:rsidP="00602399">
      <w:pPr>
        <w:ind w:right="-14"/>
        <w:rPr>
          <w:sz w:val="22"/>
        </w:rPr>
      </w:pPr>
      <w:r w:rsidRPr="004E60A8">
        <w:rPr>
          <w:sz w:val="22"/>
        </w:rPr>
        <w:t xml:space="preserve">Recently considerable interest in investigating how grammaticalization and construction grammar may be integrated (e.g. Bergs and Diewald </w:t>
      </w:r>
      <w:proofErr w:type="spellStart"/>
      <w:r w:rsidRPr="004E60A8">
        <w:rPr>
          <w:sz w:val="22"/>
        </w:rPr>
        <w:t>Forthc</w:t>
      </w:r>
      <w:proofErr w:type="spellEnd"/>
      <w:r w:rsidRPr="004E60A8">
        <w:rPr>
          <w:sz w:val="22"/>
        </w:rPr>
        <w:t xml:space="preserve">, Traugott </w:t>
      </w:r>
      <w:proofErr w:type="spellStart"/>
      <w:r w:rsidRPr="004E60A8">
        <w:rPr>
          <w:sz w:val="22"/>
        </w:rPr>
        <w:t>Forthc</w:t>
      </w:r>
      <w:proofErr w:type="spellEnd"/>
      <w:r w:rsidRPr="004E60A8">
        <w:rPr>
          <w:sz w:val="22"/>
        </w:rPr>
        <w:t xml:space="preserve">, Trousdale </w:t>
      </w:r>
      <w:proofErr w:type="spellStart"/>
      <w:r w:rsidRPr="004E60A8">
        <w:rPr>
          <w:sz w:val="22"/>
        </w:rPr>
        <w:t>Forthc</w:t>
      </w:r>
      <w:proofErr w:type="spellEnd"/>
      <w:r w:rsidRPr="004E60A8">
        <w:rPr>
          <w:sz w:val="22"/>
        </w:rPr>
        <w:t xml:space="preserve">). There has also been </w:t>
      </w:r>
      <w:r w:rsidRPr="007F0818">
        <w:rPr>
          <w:sz w:val="22"/>
        </w:rPr>
        <w:t xml:space="preserve">interest in “grammaticalization without lexical bleaching” (Lehmann </w:t>
      </w:r>
      <w:proofErr w:type="spellStart"/>
      <w:r w:rsidRPr="007F0818">
        <w:rPr>
          <w:sz w:val="22"/>
        </w:rPr>
        <w:t>Forthc</w:t>
      </w:r>
      <w:proofErr w:type="spellEnd"/>
      <w:r w:rsidRPr="007F0818">
        <w:rPr>
          <w:sz w:val="22"/>
        </w:rPr>
        <w:t>), and what motivations we might hypothesize for it. For example, Detges (2006) suggests that turn-taking and self-topicalization motivated the development of French subject pronouns. In this paper I investigate another such development without lexical bleaching, the emergence of ALL- and WH-pseudo-clefts in Early Modern English, from the perspective of grammaticalization and construction grammar. Using electronic corpora that include letters, drama, and Old Bailey trials, I argue that textual evidence suggests that dialogic argumentation (</w:t>
      </w:r>
      <w:proofErr w:type="spellStart"/>
      <w:r w:rsidRPr="007F0818">
        <w:rPr>
          <w:sz w:val="22"/>
        </w:rPr>
        <w:t>Roulet</w:t>
      </w:r>
      <w:proofErr w:type="spellEnd"/>
      <w:r w:rsidRPr="007F0818">
        <w:rPr>
          <w:sz w:val="22"/>
        </w:rPr>
        <w:t xml:space="preserve"> 1994, Schwenter 2000) motivated the development of WH- and ALL- pseudo-clefts, as in </w:t>
      </w:r>
      <w:r w:rsidRPr="007F0818">
        <w:rPr>
          <w:i/>
          <w:sz w:val="22"/>
        </w:rPr>
        <w:t xml:space="preserve">There is no </w:t>
      </w:r>
      <w:proofErr w:type="spellStart"/>
      <w:r w:rsidRPr="007F0818">
        <w:rPr>
          <w:i/>
          <w:sz w:val="22"/>
        </w:rPr>
        <w:t>possibilitie</w:t>
      </w:r>
      <w:proofErr w:type="spellEnd"/>
      <w:r w:rsidRPr="007F0818">
        <w:rPr>
          <w:i/>
          <w:sz w:val="22"/>
        </w:rPr>
        <w:t xml:space="preserve"> of overthrowing the new election … so all I you can doe is to do some good for the </w:t>
      </w:r>
      <w:proofErr w:type="spellStart"/>
      <w:r w:rsidRPr="007F0818">
        <w:rPr>
          <w:i/>
          <w:sz w:val="22"/>
        </w:rPr>
        <w:t>tyme</w:t>
      </w:r>
      <w:proofErr w:type="spellEnd"/>
      <w:r w:rsidRPr="007F0818">
        <w:rPr>
          <w:i/>
          <w:sz w:val="22"/>
        </w:rPr>
        <w:t xml:space="preserve"> to come </w:t>
      </w:r>
      <w:r w:rsidRPr="007F0818">
        <w:rPr>
          <w:sz w:val="22"/>
        </w:rPr>
        <w:t>(1624 Oliver Naylor, Letter).</w:t>
      </w:r>
      <w:r w:rsidRPr="007F0818">
        <w:rPr>
          <w:i/>
          <w:sz w:val="22"/>
        </w:rPr>
        <w:t xml:space="preserve"> </w:t>
      </w:r>
      <w:r w:rsidRPr="007F0818">
        <w:rPr>
          <w:sz w:val="22"/>
        </w:rPr>
        <w:t xml:space="preserve">This may seem surprising given that most discussion of constructed examples of pseudo-clefts focuses on question-answer pairs, and Hopper (2001) suggests that a key role of WH-clefts in present day conversational data is to delay an assertion at a turn. The historical data show the pseudo-clefts were originally precursors of present-day usage in which WH-clefts serve contesting purposes (Kim 1995). </w:t>
      </w:r>
    </w:p>
    <w:p w:rsidR="00602399" w:rsidRPr="007F0818" w:rsidRDefault="00602399">
      <w:pPr>
        <w:rPr>
          <w:sz w:val="22"/>
        </w:rPr>
      </w:pPr>
    </w:p>
    <w:p w:rsidR="00602399" w:rsidRPr="007F0818" w:rsidRDefault="00602399">
      <w:pPr>
        <w:rPr>
          <w:sz w:val="22"/>
        </w:rPr>
      </w:pPr>
      <w:r w:rsidRPr="007F0818">
        <w:rPr>
          <w:sz w:val="22"/>
        </w:rPr>
        <w:t>References</w:t>
      </w:r>
    </w:p>
    <w:p w:rsidR="00602399" w:rsidRPr="007F0818" w:rsidRDefault="00602399" w:rsidP="00602399">
      <w:pPr>
        <w:tabs>
          <w:tab w:val="left" w:pos="270"/>
        </w:tabs>
        <w:ind w:left="720" w:right="-187" w:hanging="720"/>
        <w:rPr>
          <w:color w:val="000000"/>
          <w:sz w:val="22"/>
          <w:szCs w:val="22"/>
        </w:rPr>
      </w:pPr>
      <w:r w:rsidRPr="007F0818">
        <w:rPr>
          <w:color w:val="000000"/>
          <w:sz w:val="22"/>
          <w:szCs w:val="22"/>
        </w:rPr>
        <w:t xml:space="preserve">Bergs, Alexander and Gabriele Diewald, eds. </w:t>
      </w:r>
      <w:proofErr w:type="spellStart"/>
      <w:r w:rsidRPr="007F0818">
        <w:rPr>
          <w:color w:val="000000"/>
          <w:sz w:val="22"/>
          <w:szCs w:val="22"/>
        </w:rPr>
        <w:t>Forthc</w:t>
      </w:r>
      <w:proofErr w:type="spellEnd"/>
      <w:r w:rsidRPr="007F0818">
        <w:rPr>
          <w:color w:val="000000"/>
          <w:sz w:val="22"/>
          <w:szCs w:val="22"/>
        </w:rPr>
        <w:t xml:space="preserve">. </w:t>
      </w:r>
      <w:r w:rsidRPr="007F0818">
        <w:rPr>
          <w:i/>
          <w:color w:val="000000"/>
          <w:sz w:val="22"/>
          <w:szCs w:val="22"/>
        </w:rPr>
        <w:t>Constructions and Language Change</w:t>
      </w:r>
      <w:r w:rsidRPr="007F0818">
        <w:rPr>
          <w:color w:val="000000"/>
          <w:sz w:val="22"/>
          <w:szCs w:val="22"/>
        </w:rPr>
        <w:t>. Berlin: Mouton de Gruyter.</w:t>
      </w:r>
    </w:p>
    <w:p w:rsidR="00602399" w:rsidRPr="007F0818" w:rsidRDefault="00602399" w:rsidP="00602399">
      <w:pPr>
        <w:tabs>
          <w:tab w:val="left" w:pos="270"/>
          <w:tab w:val="left" w:pos="1260"/>
        </w:tabs>
        <w:ind w:left="720" w:right="-187" w:hanging="720"/>
        <w:rPr>
          <w:color w:val="000000"/>
          <w:sz w:val="22"/>
          <w:szCs w:val="22"/>
        </w:rPr>
      </w:pPr>
      <w:r w:rsidRPr="007F0818">
        <w:rPr>
          <w:color w:val="000000"/>
          <w:sz w:val="22"/>
          <w:szCs w:val="22"/>
        </w:rPr>
        <w:t xml:space="preserve">Detges, Ulrich. 2006. </w:t>
      </w:r>
      <w:r w:rsidRPr="007F0818">
        <w:rPr>
          <w:sz w:val="22"/>
          <w:szCs w:val="48"/>
        </w:rPr>
        <w:t xml:space="preserve">From speaker to subject. The </w:t>
      </w:r>
      <w:proofErr w:type="spellStart"/>
      <w:r w:rsidRPr="007F0818">
        <w:rPr>
          <w:sz w:val="22"/>
          <w:szCs w:val="48"/>
        </w:rPr>
        <w:t>obligatorization</w:t>
      </w:r>
      <w:proofErr w:type="spellEnd"/>
      <w:r w:rsidRPr="007F0818">
        <w:rPr>
          <w:sz w:val="22"/>
          <w:szCs w:val="48"/>
        </w:rPr>
        <w:t xml:space="preserve"> of the Old French subject pronouns. In Hanne </w:t>
      </w:r>
      <w:proofErr w:type="spellStart"/>
      <w:r w:rsidRPr="007F0818">
        <w:rPr>
          <w:sz w:val="22"/>
          <w:szCs w:val="48"/>
        </w:rPr>
        <w:t>Leth</w:t>
      </w:r>
      <w:proofErr w:type="spellEnd"/>
      <w:r w:rsidRPr="007F0818">
        <w:rPr>
          <w:sz w:val="22"/>
          <w:szCs w:val="48"/>
        </w:rPr>
        <w:t xml:space="preserve"> Andersen, Merete </w:t>
      </w:r>
      <w:proofErr w:type="spellStart"/>
      <w:r w:rsidRPr="007F0818">
        <w:rPr>
          <w:sz w:val="22"/>
          <w:szCs w:val="48"/>
        </w:rPr>
        <w:t>Birkelund</w:t>
      </w:r>
      <w:proofErr w:type="spellEnd"/>
      <w:r w:rsidRPr="007F0818">
        <w:rPr>
          <w:sz w:val="22"/>
          <w:szCs w:val="48"/>
        </w:rPr>
        <w:t xml:space="preserve">, </w:t>
      </w:r>
      <w:proofErr w:type="spellStart"/>
      <w:r w:rsidRPr="007F0818">
        <w:rPr>
          <w:sz w:val="22"/>
          <w:szCs w:val="48"/>
        </w:rPr>
        <w:t>Maj</w:t>
      </w:r>
      <w:proofErr w:type="spellEnd"/>
      <w:r w:rsidRPr="007F0818">
        <w:rPr>
          <w:sz w:val="22"/>
          <w:szCs w:val="48"/>
        </w:rPr>
        <w:t xml:space="preserve">-Britt </w:t>
      </w:r>
      <w:proofErr w:type="spellStart"/>
      <w:r w:rsidRPr="007F0818">
        <w:rPr>
          <w:sz w:val="22"/>
          <w:szCs w:val="48"/>
        </w:rPr>
        <w:t>Mosegaard</w:t>
      </w:r>
      <w:proofErr w:type="spellEnd"/>
      <w:r w:rsidRPr="007F0818">
        <w:rPr>
          <w:sz w:val="22"/>
          <w:szCs w:val="48"/>
        </w:rPr>
        <w:t xml:space="preserve"> Hansen, eds., </w:t>
      </w:r>
      <w:r w:rsidRPr="007F0818">
        <w:rPr>
          <w:i/>
          <w:sz w:val="22"/>
          <w:szCs w:val="48"/>
        </w:rPr>
        <w:t xml:space="preserve">La </w:t>
      </w:r>
      <w:proofErr w:type="spellStart"/>
      <w:r w:rsidRPr="007F0818">
        <w:rPr>
          <w:i/>
          <w:sz w:val="22"/>
          <w:szCs w:val="48"/>
        </w:rPr>
        <w:t>Linguistique</w:t>
      </w:r>
      <w:proofErr w:type="spellEnd"/>
      <w:r w:rsidRPr="007F0818">
        <w:rPr>
          <w:i/>
          <w:sz w:val="22"/>
          <w:szCs w:val="48"/>
        </w:rPr>
        <w:t xml:space="preserve"> au Coeur.</w:t>
      </w:r>
      <w:r w:rsidRPr="007F0818">
        <w:rPr>
          <w:sz w:val="22"/>
          <w:szCs w:val="38"/>
        </w:rPr>
        <w:t xml:space="preserve"> </w:t>
      </w:r>
      <w:r w:rsidRPr="007F0818">
        <w:rPr>
          <w:i/>
          <w:sz w:val="22"/>
          <w:szCs w:val="38"/>
        </w:rPr>
        <w:t>University of Southern Denmark Studies in Literature</w:t>
      </w:r>
      <w:r w:rsidRPr="007F0818">
        <w:rPr>
          <w:sz w:val="22"/>
          <w:szCs w:val="38"/>
        </w:rPr>
        <w:t xml:space="preserve"> 48: 75-103. </w:t>
      </w:r>
    </w:p>
    <w:p w:rsidR="00602399" w:rsidRPr="007F0818" w:rsidRDefault="00602399" w:rsidP="00602399">
      <w:pPr>
        <w:pStyle w:val="OmniPage15"/>
        <w:tabs>
          <w:tab w:val="clear" w:pos="722"/>
          <w:tab w:val="left" w:pos="720"/>
        </w:tabs>
        <w:ind w:left="720" w:right="-187" w:hanging="720"/>
        <w:rPr>
          <w:rFonts w:ascii="Times New Roman" w:hAnsi="Times New Roman"/>
          <w:sz w:val="22"/>
          <w:szCs w:val="22"/>
        </w:rPr>
      </w:pPr>
      <w:r w:rsidRPr="007F0818">
        <w:rPr>
          <w:rFonts w:ascii="Times New Roman" w:hAnsi="Times New Roman"/>
          <w:sz w:val="22"/>
          <w:szCs w:val="22"/>
        </w:rPr>
        <w:t xml:space="preserve">Hopper, Paul J. 2001. Grammatical constructions and their discourse origins: Prototype or family resemblance? In Martin </w:t>
      </w:r>
      <w:proofErr w:type="spellStart"/>
      <w:r w:rsidRPr="007F0818">
        <w:rPr>
          <w:rFonts w:ascii="Times New Roman" w:hAnsi="Times New Roman"/>
          <w:sz w:val="22"/>
          <w:szCs w:val="22"/>
        </w:rPr>
        <w:t>Pütz</w:t>
      </w:r>
      <w:proofErr w:type="spellEnd"/>
      <w:r w:rsidRPr="007F0818">
        <w:rPr>
          <w:rFonts w:ascii="Times New Roman" w:hAnsi="Times New Roman"/>
          <w:sz w:val="22"/>
          <w:szCs w:val="22"/>
        </w:rPr>
        <w:t xml:space="preserve">, Susanne </w:t>
      </w:r>
      <w:proofErr w:type="spellStart"/>
      <w:r w:rsidRPr="007F0818">
        <w:rPr>
          <w:rFonts w:ascii="Times New Roman" w:hAnsi="Times New Roman"/>
          <w:sz w:val="22"/>
          <w:szCs w:val="22"/>
        </w:rPr>
        <w:t>Niemeier</w:t>
      </w:r>
      <w:proofErr w:type="spellEnd"/>
      <w:r w:rsidRPr="007F0818">
        <w:rPr>
          <w:rFonts w:ascii="Times New Roman" w:hAnsi="Times New Roman"/>
          <w:sz w:val="22"/>
          <w:szCs w:val="22"/>
        </w:rPr>
        <w:t xml:space="preserve">, René Dirven, eds., </w:t>
      </w:r>
      <w:r w:rsidRPr="007F0818">
        <w:rPr>
          <w:rFonts w:ascii="Times New Roman" w:hAnsi="Times New Roman"/>
          <w:i/>
          <w:sz w:val="22"/>
          <w:szCs w:val="22"/>
        </w:rPr>
        <w:t>Applied Cognitive Linguistics I: Theory and Language Acquisition</w:t>
      </w:r>
      <w:r w:rsidRPr="007F0818">
        <w:rPr>
          <w:rFonts w:ascii="Times New Roman" w:hAnsi="Times New Roman"/>
          <w:sz w:val="22"/>
          <w:szCs w:val="22"/>
        </w:rPr>
        <w:t>, 109-129. Berlin: Mouton de Gruyter.</w:t>
      </w:r>
    </w:p>
    <w:p w:rsidR="00602399" w:rsidRPr="007F0818" w:rsidRDefault="00602399" w:rsidP="00602399">
      <w:pPr>
        <w:ind w:left="720" w:hanging="720"/>
        <w:rPr>
          <w:sz w:val="22"/>
        </w:rPr>
      </w:pPr>
      <w:r w:rsidRPr="007F0818">
        <w:rPr>
          <w:sz w:val="22"/>
        </w:rPr>
        <w:t xml:space="preserve">Kim, </w:t>
      </w:r>
      <w:proofErr w:type="spellStart"/>
      <w:r w:rsidRPr="007F0818">
        <w:rPr>
          <w:sz w:val="22"/>
        </w:rPr>
        <w:t>Kyu-hyun</w:t>
      </w:r>
      <w:proofErr w:type="spellEnd"/>
      <w:r w:rsidRPr="007F0818">
        <w:rPr>
          <w:sz w:val="22"/>
        </w:rPr>
        <w:t xml:space="preserve">. 1995. WH-clefts and left-dislocation in English conversation: Cases of topicalization. In Pamela Downing and Michael Noonan, eds., </w:t>
      </w:r>
      <w:r w:rsidRPr="007F0818">
        <w:rPr>
          <w:i/>
          <w:sz w:val="22"/>
        </w:rPr>
        <w:t xml:space="preserve">Word Order in Discourse, </w:t>
      </w:r>
      <w:r w:rsidRPr="007F0818">
        <w:rPr>
          <w:sz w:val="22"/>
        </w:rPr>
        <w:t>247-296.</w:t>
      </w:r>
      <w:r w:rsidRPr="007F0818">
        <w:rPr>
          <w:i/>
          <w:sz w:val="22"/>
        </w:rPr>
        <w:t xml:space="preserve"> </w:t>
      </w:r>
      <w:r w:rsidRPr="007F0818">
        <w:rPr>
          <w:sz w:val="22"/>
        </w:rPr>
        <w:t>Amsterdam: Benjamins.</w:t>
      </w:r>
    </w:p>
    <w:p w:rsidR="00602399" w:rsidRPr="007F0818" w:rsidRDefault="00602399" w:rsidP="006023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sz w:val="22"/>
          <w:szCs w:val="28"/>
        </w:rPr>
      </w:pPr>
      <w:r w:rsidRPr="007F0818">
        <w:rPr>
          <w:sz w:val="22"/>
        </w:rPr>
        <w:t xml:space="preserve">Lehmann, Christian. </w:t>
      </w:r>
      <w:proofErr w:type="spellStart"/>
      <w:r w:rsidRPr="007F0818">
        <w:rPr>
          <w:color w:val="000000"/>
          <w:sz w:val="22"/>
        </w:rPr>
        <w:t>Forthc</w:t>
      </w:r>
      <w:proofErr w:type="spellEnd"/>
      <w:r w:rsidRPr="007F0818">
        <w:rPr>
          <w:color w:val="000000"/>
          <w:sz w:val="22"/>
        </w:rPr>
        <w:t xml:space="preserve">. Information structure and grammaticalization. In Elena </w:t>
      </w:r>
      <w:proofErr w:type="spellStart"/>
      <w:r w:rsidRPr="007F0818">
        <w:rPr>
          <w:sz w:val="22"/>
          <w:szCs w:val="28"/>
        </w:rPr>
        <w:t>Seoane</w:t>
      </w:r>
      <w:proofErr w:type="spellEnd"/>
      <w:r w:rsidRPr="007F0818">
        <w:rPr>
          <w:sz w:val="22"/>
          <w:szCs w:val="28"/>
        </w:rPr>
        <w:t xml:space="preserve"> and </w:t>
      </w:r>
      <w:proofErr w:type="spellStart"/>
      <w:r w:rsidRPr="007F0818">
        <w:rPr>
          <w:sz w:val="22"/>
          <w:szCs w:val="28"/>
        </w:rPr>
        <w:t>María</w:t>
      </w:r>
      <w:proofErr w:type="spellEnd"/>
      <w:r w:rsidRPr="007F0818">
        <w:rPr>
          <w:sz w:val="22"/>
          <w:szCs w:val="28"/>
        </w:rPr>
        <w:t xml:space="preserve"> José </w:t>
      </w:r>
      <w:proofErr w:type="spellStart"/>
      <w:r w:rsidRPr="007F0818">
        <w:rPr>
          <w:sz w:val="22"/>
          <w:szCs w:val="28"/>
        </w:rPr>
        <w:t>López-Couso</w:t>
      </w:r>
      <w:proofErr w:type="spellEnd"/>
      <w:r w:rsidRPr="007F0818">
        <w:rPr>
          <w:sz w:val="22"/>
          <w:szCs w:val="28"/>
        </w:rPr>
        <w:t xml:space="preserve">, eds., in collaboration with Teresa </w:t>
      </w:r>
      <w:proofErr w:type="spellStart"/>
      <w:r w:rsidRPr="007F0818">
        <w:rPr>
          <w:sz w:val="22"/>
          <w:szCs w:val="28"/>
        </w:rPr>
        <w:t>Fanego</w:t>
      </w:r>
      <w:proofErr w:type="spellEnd"/>
      <w:r w:rsidRPr="007F0818">
        <w:rPr>
          <w:sz w:val="22"/>
          <w:szCs w:val="28"/>
        </w:rPr>
        <w:t xml:space="preserve">. </w:t>
      </w:r>
      <w:r w:rsidRPr="007F0818">
        <w:rPr>
          <w:i/>
          <w:sz w:val="22"/>
          <w:szCs w:val="28"/>
        </w:rPr>
        <w:t>Theoretical and Empirical Issues in Grammaticalization.</w:t>
      </w:r>
      <w:r w:rsidRPr="007F0818">
        <w:rPr>
          <w:sz w:val="22"/>
          <w:szCs w:val="28"/>
        </w:rPr>
        <w:t xml:space="preserve"> Amsterdam: Benjamins.</w:t>
      </w:r>
    </w:p>
    <w:p w:rsidR="00602399" w:rsidRPr="007F0818" w:rsidRDefault="00602399" w:rsidP="00602399">
      <w:pPr>
        <w:tabs>
          <w:tab w:val="left" w:pos="270"/>
        </w:tabs>
        <w:ind w:left="720" w:hanging="720"/>
        <w:rPr>
          <w:sz w:val="22"/>
          <w:szCs w:val="22"/>
        </w:rPr>
      </w:pPr>
      <w:proofErr w:type="spellStart"/>
      <w:r w:rsidRPr="007F0818">
        <w:rPr>
          <w:sz w:val="22"/>
          <w:szCs w:val="22"/>
        </w:rPr>
        <w:t>Roulet</w:t>
      </w:r>
      <w:proofErr w:type="spellEnd"/>
      <w:r w:rsidRPr="007F0818">
        <w:rPr>
          <w:sz w:val="22"/>
          <w:szCs w:val="22"/>
        </w:rPr>
        <w:t xml:space="preserve">, Eddy. 1984. Speech acts, discourse structure, and pragmatic connectives. </w:t>
      </w:r>
      <w:r w:rsidRPr="007F0818">
        <w:rPr>
          <w:i/>
          <w:sz w:val="22"/>
          <w:szCs w:val="22"/>
        </w:rPr>
        <w:t xml:space="preserve">Journal of Pragmatics </w:t>
      </w:r>
      <w:r w:rsidRPr="007F0818">
        <w:rPr>
          <w:sz w:val="22"/>
          <w:szCs w:val="22"/>
        </w:rPr>
        <w:t>8: 31-47.</w:t>
      </w:r>
    </w:p>
    <w:p w:rsidR="00602399" w:rsidRPr="007F0818" w:rsidRDefault="00602399" w:rsidP="00602399">
      <w:pPr>
        <w:tabs>
          <w:tab w:val="left" w:pos="270"/>
        </w:tabs>
        <w:ind w:left="720" w:right="-187" w:hanging="720"/>
        <w:rPr>
          <w:color w:val="000000"/>
          <w:sz w:val="22"/>
        </w:rPr>
      </w:pPr>
      <w:r w:rsidRPr="007F0818">
        <w:rPr>
          <w:color w:val="000000"/>
          <w:sz w:val="22"/>
          <w:szCs w:val="20"/>
        </w:rPr>
        <w:t>Schwenter, Scott A.</w:t>
      </w:r>
      <w:r w:rsidRPr="007F0818">
        <w:rPr>
          <w:color w:val="000000"/>
          <w:sz w:val="22"/>
        </w:rPr>
        <w:t xml:space="preserve"> 2000. Viewpoints and polysemy: Linking adversative and causal meanings of discourse markers. In Elizabeth </w:t>
      </w:r>
      <w:proofErr w:type="spellStart"/>
      <w:r w:rsidRPr="007F0818">
        <w:rPr>
          <w:color w:val="000000"/>
          <w:sz w:val="22"/>
        </w:rPr>
        <w:t>Couper-Kuhlen</w:t>
      </w:r>
      <w:proofErr w:type="spellEnd"/>
      <w:r w:rsidRPr="007F0818">
        <w:rPr>
          <w:color w:val="000000"/>
          <w:sz w:val="22"/>
        </w:rPr>
        <w:t xml:space="preserve"> and Bernd Kortmann, eds., </w:t>
      </w:r>
      <w:r w:rsidRPr="007F0818">
        <w:rPr>
          <w:i/>
          <w:color w:val="000000"/>
          <w:sz w:val="22"/>
        </w:rPr>
        <w:t>Cause – Condition – Concession – Contrast: Cognitive and Discourse Perspectives</w:t>
      </w:r>
      <w:r w:rsidRPr="007F0818">
        <w:rPr>
          <w:color w:val="000000"/>
          <w:sz w:val="22"/>
        </w:rPr>
        <w:t>, 257-281. Berlin: Mouton de Gruyter.</w:t>
      </w:r>
    </w:p>
    <w:p w:rsidR="00602399" w:rsidRPr="004E60A8" w:rsidRDefault="00602399" w:rsidP="00602399">
      <w:pPr>
        <w:ind w:left="720" w:right="-156" w:hanging="720"/>
        <w:rPr>
          <w:color w:val="000000"/>
          <w:sz w:val="22"/>
          <w:szCs w:val="22"/>
        </w:rPr>
      </w:pPr>
      <w:r w:rsidRPr="007F0818">
        <w:rPr>
          <w:color w:val="000000"/>
          <w:sz w:val="22"/>
        </w:rPr>
        <w:t xml:space="preserve">Traugott, Elizabeth Closs. </w:t>
      </w:r>
      <w:proofErr w:type="spellStart"/>
      <w:r w:rsidRPr="007F0818">
        <w:rPr>
          <w:color w:val="000000"/>
          <w:sz w:val="22"/>
        </w:rPr>
        <w:t>Forthc</w:t>
      </w:r>
      <w:proofErr w:type="spellEnd"/>
      <w:r w:rsidRPr="007F0818">
        <w:rPr>
          <w:color w:val="000000"/>
          <w:sz w:val="22"/>
        </w:rPr>
        <w:t xml:space="preserve">. </w:t>
      </w:r>
      <w:r w:rsidRPr="004E60A8">
        <w:rPr>
          <w:color w:val="000000"/>
          <w:sz w:val="22"/>
          <w:szCs w:val="22"/>
        </w:rPr>
        <w:t>The grammaticalization of NP of NP constructions. In Bergs and Diewald, eds.</w:t>
      </w:r>
    </w:p>
    <w:p w:rsidR="00602399" w:rsidRPr="007F0818" w:rsidRDefault="00602399" w:rsidP="00602399">
      <w:pPr>
        <w:tabs>
          <w:tab w:val="left" w:pos="270"/>
          <w:tab w:val="left" w:pos="8550"/>
        </w:tabs>
        <w:ind w:left="720" w:right="-523" w:hanging="720"/>
        <w:rPr>
          <w:color w:val="000000"/>
          <w:sz w:val="22"/>
          <w:szCs w:val="20"/>
        </w:rPr>
      </w:pPr>
      <w:r w:rsidRPr="007F0818">
        <w:rPr>
          <w:color w:val="000000"/>
          <w:sz w:val="22"/>
          <w:szCs w:val="22"/>
        </w:rPr>
        <w:t xml:space="preserve">Trousdale, Graeme. </w:t>
      </w:r>
      <w:proofErr w:type="spellStart"/>
      <w:r w:rsidRPr="007F0818">
        <w:rPr>
          <w:color w:val="000000"/>
          <w:sz w:val="22"/>
          <w:szCs w:val="22"/>
        </w:rPr>
        <w:t>Forthc</w:t>
      </w:r>
      <w:proofErr w:type="spellEnd"/>
      <w:r w:rsidRPr="007F0818">
        <w:rPr>
          <w:color w:val="000000"/>
          <w:sz w:val="22"/>
          <w:szCs w:val="22"/>
        </w:rPr>
        <w:t xml:space="preserve">. Constructions in grammaticalization and lexicalization: Evidence from the history of a composite predicate in English. In Graeme Trousdale and Nikolas </w:t>
      </w:r>
      <w:proofErr w:type="spellStart"/>
      <w:r w:rsidRPr="007F0818">
        <w:rPr>
          <w:color w:val="000000"/>
          <w:sz w:val="22"/>
          <w:szCs w:val="22"/>
        </w:rPr>
        <w:t>Gisborne</w:t>
      </w:r>
      <w:proofErr w:type="spellEnd"/>
      <w:r w:rsidRPr="007F0818">
        <w:rPr>
          <w:color w:val="000000"/>
          <w:sz w:val="22"/>
          <w:szCs w:val="22"/>
        </w:rPr>
        <w:t xml:space="preserve">, eds., </w:t>
      </w:r>
      <w:r w:rsidRPr="007F0818">
        <w:rPr>
          <w:i/>
          <w:color w:val="000000"/>
          <w:sz w:val="22"/>
          <w:szCs w:val="22"/>
        </w:rPr>
        <w:t>Constructional Explanations in English Grammar</w:t>
      </w:r>
      <w:r w:rsidRPr="007F0818">
        <w:rPr>
          <w:color w:val="000000"/>
          <w:sz w:val="22"/>
          <w:szCs w:val="22"/>
        </w:rPr>
        <w:t>. Berlin: Mouton de Gruyter.</w:t>
      </w:r>
    </w:p>
    <w:sectPr w:rsidR="00602399" w:rsidRPr="007F0818" w:rsidSect="00602399">
      <w:pgSz w:w="11904" w:h="16834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hicag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417"/>
    <w:rsid w:val="00602399"/>
    <w:rsid w:val="00EF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417"/>
    <w:rPr>
      <w:sz w:val="24"/>
      <w:szCs w:val="24"/>
      <w:lang w:val="en-US" w:eastAsia="en-US"/>
    </w:rPr>
  </w:style>
  <w:style w:type="character" w:default="1" w:styleId="Standardskrifttypeiafsnit">
    <w:name w:val="Default Paragraph Font"/>
  </w:style>
  <w:style w:type="table" w:default="1" w:styleId="Tabel-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character" w:styleId="Hyperlink">
    <w:name w:val="Hyperlink"/>
    <w:basedOn w:val="Standardskrifttypeiafsnit"/>
    <w:rsid w:val="00125129"/>
    <w:rPr>
      <w:color w:val="0000FF"/>
      <w:u w:val="single"/>
    </w:rPr>
  </w:style>
  <w:style w:type="paragraph" w:customStyle="1" w:styleId="OmniPage15">
    <w:name w:val="OmniPage #15"/>
    <w:rsid w:val="007F0818"/>
    <w:pPr>
      <w:tabs>
        <w:tab w:val="left" w:pos="722"/>
      </w:tabs>
      <w:autoSpaceDE w:val="0"/>
      <w:autoSpaceDN w:val="0"/>
      <w:ind w:left="362" w:right="128" w:hanging="160"/>
    </w:pPr>
    <w:rPr>
      <w:rFonts w:ascii="Chicago" w:hAnsi="Chicago"/>
      <w:sz w:val="2"/>
      <w:szCs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3013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GRAMMATICALIZATION AND THE EMERGENCE OF CONSTRUCTIONS</vt:lpstr>
    </vt:vector>
  </TitlesOfParts>
  <Company>Stanford University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GRAMMATICALIZATION AND THE EMERGENCE OF CONSTRUCTIONS</dc:title>
  <dc:creator>Elizabeth Traugott</dc:creator>
  <cp:lastModifiedBy>Charlotte</cp:lastModifiedBy>
  <cp:revision>2</cp:revision>
  <cp:lastPrinted>2007-10-26T20:49:00Z</cp:lastPrinted>
  <dcterms:created xsi:type="dcterms:W3CDTF">2012-11-26T00:35:00Z</dcterms:created>
  <dcterms:modified xsi:type="dcterms:W3CDTF">2012-11-26T00:35:00Z</dcterms:modified>
</cp:coreProperties>
</file>